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pacing w:after="40" w:before="300" w:lineRule="auto"/>
        <w:ind w:left="160" w:right="160" w:firstLine="0"/>
        <w:rPr/>
      </w:pPr>
      <w:bookmarkStart w:colFirst="0" w:colLast="0" w:name="_8s4sl7u5nmhf" w:id="0"/>
      <w:bookmarkEnd w:id="0"/>
      <w:r w:rsidDel="00000000" w:rsidR="00000000" w:rsidRPr="00000000">
        <w:rPr>
          <w:rtl w:val="0"/>
        </w:rPr>
      </w:r>
    </w:p>
    <w:p w:rsidR="00000000" w:rsidDel="00000000" w:rsidP="00000000" w:rsidRDefault="00000000" w:rsidRPr="00000000" w14:paraId="00000002">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pacing w:after="40" w:before="300" w:lineRule="auto"/>
        <w:ind w:left="160" w:right="160" w:firstLine="0"/>
        <w:rPr>
          <w:b w:val="1"/>
          <w:color w:val="333333"/>
          <w:sz w:val="30"/>
          <w:szCs w:val="30"/>
        </w:rPr>
      </w:pPr>
      <w:bookmarkStart w:colFirst="0" w:colLast="0" w:name="_8s4sl7u5nmhf" w:id="0"/>
      <w:bookmarkEnd w:id="0"/>
      <w:r w:rsidDel="00000000" w:rsidR="00000000" w:rsidRPr="00000000">
        <w:rPr>
          <w:b w:val="1"/>
          <w:color w:val="333333"/>
          <w:sz w:val="30"/>
          <w:szCs w:val="30"/>
          <w:rtl w:val="0"/>
        </w:rPr>
        <w:t xml:space="preserve">2002 | Cited 0 times | California Court of Appeal | October 2, 2002</w:t>
      </w:r>
    </w:p>
    <w:p w:rsidR="00000000" w:rsidDel="00000000" w:rsidP="00000000" w:rsidRDefault="00000000" w:rsidRPr="00000000" w14:paraId="00000003">
      <w:pPr>
        <w:spacing w:before="300" w:lineRule="auto"/>
        <w:ind w:left="160" w:right="160" w:firstLine="0"/>
        <w:rPr>
          <w:sz w:val="24"/>
          <w:szCs w:val="24"/>
          <w:highlight w:val="white"/>
        </w:rPr>
      </w:pPr>
      <w:r w:rsidDel="00000000" w:rsidR="00000000" w:rsidRPr="00000000">
        <w:rPr>
          <w:sz w:val="24"/>
          <w:szCs w:val="24"/>
          <w:rtl w:val="0"/>
        </w:rPr>
        <w:t xml:space="preserve">Case</w:t>
      </w:r>
      <w:r w:rsidDel="00000000" w:rsidR="00000000" w:rsidRPr="00000000">
        <w:rPr>
          <w:sz w:val="24"/>
          <w:szCs w:val="24"/>
          <w:highlight w:val="white"/>
          <w:rtl w:val="0"/>
        </w:rPr>
        <w:t xml:space="preserve">AI-Insights</w:t>
      </w:r>
    </w:p>
    <w:p w:rsidR="00000000" w:rsidDel="00000000" w:rsidP="00000000" w:rsidRDefault="00000000" w:rsidRPr="00000000" w14:paraId="00000004">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NOT TO BE PUBLISHED IN OFFICIAL REPORTS</w:t>
      </w:r>
    </w:p>
    <w:p w:rsidR="00000000" w:rsidDel="00000000" w:rsidP="00000000" w:rsidRDefault="00000000" w:rsidRPr="00000000" w14:paraId="00000005">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California Rules of Court, rule 977(a), prohibits courts and parties from citing or relying on opinions not certified for publication or ordered published, except as specified by rule 977(b). This opinion has not been certified for publication or ordered published for purposes of rule 977.</w:t>
      </w:r>
    </w:p>
    <w:p w:rsidR="00000000" w:rsidDel="00000000" w:rsidP="00000000" w:rsidRDefault="00000000" w:rsidRPr="00000000" w14:paraId="00000006">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Defendant Stephen Paul Fritz was charged with four counts of violating Penal Code section 288, subdivision (a) (lewd or lascivious act on a child under 14). The information contained, among other things, a substantial sexual conduct allegation (Pen. Code, § 1203.066, subd. (a)(8)) as to all four counts and a multiple victim allegation (Pen. Code, § 667.61, subd. (e)(5)), and an allegation of a prior conviction of Penal Code section 288, subdivision (a), (Pen. Code, § 667.61, subd. (d)(1)) as to each of the first three counts. It also alleged a prior serious or violent felony conviction (Pen. Code, §§ 667, subds. (b)-(i); 1170.12).</w:t>
      </w:r>
    </w:p>
    <w:p w:rsidR="00000000" w:rsidDel="00000000" w:rsidP="00000000" w:rsidRDefault="00000000" w:rsidRPr="00000000" w14:paraId="00000007">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jury found the defendant guilty as charged and found the above allegations true. The offenses involved two brothers and occurred in 1994 and 1995 after the defendant had met the older brother at a science camp where defendant was a counselor and the victim was a fifth grade camper in the defendant's cabin. Defendant was sentenced to three consecutive prison terms of 30 years to life with a possibility of parole (counts one to three) consecutive to a six-year prison term (count four). He appeals. (Pen. Code, § 1237.)</w:t>
      </w:r>
    </w:p>
    <w:p w:rsidR="00000000" w:rsidDel="00000000" w:rsidP="00000000" w:rsidRDefault="00000000" w:rsidRPr="00000000" w14:paraId="00000008">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Defendant now asserts that Evidence Code section 1108 violates due process, the trial court abused its discretion under Evidence Code section 352 by admitting evidence of prior sex offenses, the trial court erred by instructing the jury pursuant to CALJIC Nos. 2.50.01 and 17.41.1, and his parole revocation fine (Pen. Code, § 1202.45) violates constitutional prohibitions against ex post facto laws. </w:t>
      </w:r>
      <w:r w:rsidDel="00000000" w:rsidR="00000000" w:rsidRPr="00000000">
        <w:rPr>
          <w:rFonts w:ascii="Times New Roman" w:cs="Times New Roman" w:eastAsia="Times New Roman" w:hAnsi="Times New Roman"/>
          <w:color w:val="333333"/>
          <w:sz w:val="30"/>
          <w:szCs w:val="30"/>
          <w:vertAlign w:val="superscript"/>
          <w:rtl w:val="0"/>
        </w:rPr>
        <w:t xml:space="preserve">1</w:t>
      </w:r>
      <w:r w:rsidDel="00000000" w:rsidR="00000000" w:rsidRPr="00000000">
        <w:rPr>
          <w:rFonts w:ascii="Times New Roman" w:cs="Times New Roman" w:eastAsia="Times New Roman" w:hAnsi="Times New Roman"/>
          <w:color w:val="333333"/>
          <w:sz w:val="24"/>
          <w:szCs w:val="24"/>
          <w:rtl w:val="0"/>
        </w:rPr>
        <w:t xml:space="preserve"> We strike the parole revocation fine and otherwise affirm.</w:t>
      </w:r>
    </w:p>
    <w:p w:rsidR="00000000" w:rsidDel="00000000" w:rsidP="00000000" w:rsidRDefault="00000000" w:rsidRPr="00000000" w14:paraId="00000009">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I. Section 1108</w:t>
      </w:r>
    </w:p>
    <w:p w:rsidR="00000000" w:rsidDel="00000000" w:rsidP="00000000" w:rsidRDefault="00000000" w:rsidRPr="00000000" w14:paraId="0000000A">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Defendant argues that that section 1108 is unconstitutional on its face because it permits evidence of prior sex offenses to be used substantively to prove guilt and is unconstitutional as applied because evidence of the prior sex offense was highly inflammatory. He acknowledges that the California Supreme Court has held that section 1108 is constitutional (People v. Falsetta (1999) 21 Cal.4th 903, 910- 922) but raises the issue to preserve it for review in the federal courts. We are bound by the high court's decision. (Auto Equity Sales, Inc. v. Superior Court (1962) 57 Cal.2d 450, 455.)</w:t>
      </w:r>
    </w:p>
    <w:p w:rsidR="00000000" w:rsidDel="00000000" w:rsidP="00000000" w:rsidRDefault="00000000" w:rsidRPr="00000000" w14:paraId="0000000B">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As to the issue of undue prejudice arising from application of section 1108, it was appropriately considered in the context of defendant's section 352 objection. We turn to that issue.</w:t>
      </w:r>
    </w:p>
    <w:p w:rsidR="00000000" w:rsidDel="00000000" w:rsidP="00000000" w:rsidRDefault="00000000" w:rsidRPr="00000000" w14:paraId="0000000C">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II. Section 352</w:t>
      </w:r>
    </w:p>
    <w:p w:rsidR="00000000" w:rsidDel="00000000" w:rsidP="00000000" w:rsidRDefault="00000000" w:rsidRPr="00000000" w14:paraId="0000000D">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As the Supreme Court determined in People v. Falsetta, supra, 21 Cal.4th at page 917, "the trial court's discretion to exclude propensity evidence under section 352 saves section 1108 from defendant's due process challenge." "By reason of section 1108, trial courts may no longer deem 'propensity' evidence unduly prejudicial per se, but must engage in a careful weighing process under section 352. Rather than admit or exclude every sex offense a defendant commits, trial judges must consider such factors as its nature, relevance, and possible remoteness, the degree of certainty of its commission and the likelihood of confusing, misleading, or distracting the jurors from their main inquiry, its similarity to the charged offense, its likely prejudicial impact on the jurors, the burden on the defendant in defending against the uncharged offense, and the availability of less prejudicial alternatives to its outright admission, such as admitting some but not all of the defendant's other sex offenses, or excluding irrelevant though inflammatory details surrounding the offense. [Citations.]" (People v. Falsetta, supra, 21 Cal.4th at pp. 916-917.)</w:t>
      </w:r>
    </w:p>
    <w:p w:rsidR="00000000" w:rsidDel="00000000" w:rsidP="00000000" w:rsidRDefault="00000000" w:rsidRPr="00000000" w14:paraId="0000000E">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defendant contends the court abused its discretion when it denied his in limine motion to exclude evidence of prior sex offenses under section 352. Defendant had argued that evidence of the prior sex offenses, which involved M. Doe, would inflame the passions of the jurors and distract them from the current case.</w:t>
      </w:r>
    </w:p>
    <w:p w:rsidR="00000000" w:rsidDel="00000000" w:rsidP="00000000" w:rsidRDefault="00000000" w:rsidRPr="00000000" w14:paraId="0000000F">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At trial, M.'s mother, Joan, testified that she hired the defendant as a babysitter in the fall of 1992 and he worked until the summer of 1993 and then he went away to college in Arizona. M., who was born in June 1982, testified to three incidents. The first occurred in the family room of M.'s home when the defendant was baby-sitting. The incident began with a back rub from the defendant and progressed into a massage that involved his touching M.'s bare skin and rubbing the shaft of M.'s penis up and down. A second essentially similar incident occurred in M.'s bedroom. Both the first and second incidents ended when M.'s dad came home. A third incident took place at the Los Altos High School baseball diamond dugout on an occasion when the defendant was back from college and came to visit. The defendant showed a pornographic book to M., touched M.'s penis, and rubbed it up and down to orgasm. The parties stipulated that, on December 21, 1994, the defendant was convicted of violating Penal Code section 288, subdivision (a), with respect to M.</w:t>
      </w:r>
    </w:p>
    <w:p w:rsidR="00000000" w:rsidDel="00000000" w:rsidP="00000000" w:rsidRDefault="00000000" w:rsidRPr="00000000" w14:paraId="00000010">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We discern no abuse of discretion in the trial court's ruling. (Cf. People v. Branch (2001) 91 Cal.App.4th 274, 282-287.) The details of these prior incidents are not particularly inflammatory, certainly no more inflammatory than the currently charged offenses. The incidents are neither uncertain nor too remote in time to be relevant to the present charges. The evidence of the prior did not uniquely tend to evoke an emotional bias against defendant without regard to its relevance on material issues. (See People v. Kipp (2001) 26 Cal.4th 1100, 1121.)</w:t>
      </w:r>
    </w:p>
    <w:p w:rsidR="00000000" w:rsidDel="00000000" w:rsidP="00000000" w:rsidRDefault="00000000" w:rsidRPr="00000000" w14:paraId="00000011">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III. CALJIC No. 2.50.01</w:t>
      </w:r>
    </w:p>
    <w:p w:rsidR="00000000" w:rsidDel="00000000" w:rsidP="00000000" w:rsidRDefault="00000000" w:rsidRPr="00000000" w14:paraId="00000012">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trial court instructed pursuant to CALJIC No. 2.50.01 regarding the evidence of prior sexual offenses: "Evidence has been introduced for the purpose of showing that the defendant engaged in a sexual offense on one or more occasions other than that charged in this case. Sexual offense means a crime under the laws of the state or of the United States that involves any of the following: [¶] Any conduct made criminal by Penal Code Section 288(a). The elements of that crime are set forth elsewhere in these instructions. [¶] If you find that the defendant committed a prior sexual offense, you may, but are not required to, infer the defendant had a disposition to commit sexual offenses. If you find that the defendant had this disposition, you may, but are not required to, infer that he was likely to commit and did commit the crimes of which he is accused. However, if you find by a preponderance of the evidence that the defendant committed prior sexual offenses, that is not sufficient by itself to prove beyond a reasonable doubt that he committed the charged crimes. The weight and significance of that evidence, if any, are for you to decide. [¶] Within the meaning of the preceding instructions, the prosecution has the burden of proving by a preponderance of the evidence that a defendant committed sexual offenses other than those for which he is on trial. [¶] You must not consider this evidence for any purpose unless you find by a preponderance of the evidence that a defendant committed the other sexual offenses." (Italics added.)</w:t>
      </w:r>
    </w:p>
    <w:p w:rsidR="00000000" w:rsidDel="00000000" w:rsidP="00000000" w:rsidRDefault="00000000" w:rsidRPr="00000000" w14:paraId="00000013">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Defendant asserts that this instruction allowed a guilty finding based solely upon propensity evidence and, thereby, offended the federal due process requirement that a criminal offense be proved beyond a reasonable doubt (In re Winship (1970) 397 U.S. 358). Defendant specifically contends: "While the jury is now told that a prior uncharged offense will not suffice, by itself, to prove guilt of the current charges, the instruction is qualified in such a manner that the limitation only applies if the prior offense is proven by a preponderance of the evidence." He argues: "Given this phrasing, a reasonable jury would understand that propensity evidence is sufficient, standing alone, to justify a conviction of the current charges when the prior offense is established by proof beyond a reasonable doubt." We disagree.</w:t>
      </w:r>
    </w:p>
    <w:p w:rsidR="00000000" w:rsidDel="00000000" w:rsidP="00000000" w:rsidRDefault="00000000" w:rsidRPr="00000000" w14:paraId="00000014">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instruction made it clear that the jury could infer disposition from evidence of a prior sex offense only if the prior offense was proven by at least a preponderance of the evidence. In addition, the court defined the elements of the currently charged sex crimes. The court also instructed: "Each Count charges a distinct crime. You must decide each count separately." The court explained the presumption of innocence and prosecution's obligation to prove defendant guilty of the charged offenses beyond a reasonable doubt. The court told the jury: "Consider the instructions as a whole and each in light of all the others."</w:t>
      </w:r>
    </w:p>
    <w:p w:rsidR="00000000" w:rsidDel="00000000" w:rsidP="00000000" w:rsidRDefault="00000000" w:rsidRPr="00000000" w14:paraId="00000015">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 ' "[T]he correctness of jury instructions is to be determined from the entire charge of the court, not from a consideration of parts of an instruction or from a particular instruction." ' [Citations.]" (People v. Musselwhite (1998) 17 Cal.4th 1216, 1248.) "When reviewing a supposedly ambiguous jury instruction, ' "we inquire 'whether there is a reasonable likelihood that the jury has applied the challenged instruction in a way' that violates the Constitution." ' [Citation.]" (People v. Welch (1999) 20 Cal.4th 701, 766.) It is not reasonably probable that the jurors misunderstood the challenged instruction to have permitted a guilty verdict based on less than proof beyond a reasonable doubt if the evidence led them to believe beyond a reasonable doubt that the prior sexual offense had occurred.</w:t>
      </w:r>
    </w:p>
    <w:p w:rsidR="00000000" w:rsidDel="00000000" w:rsidP="00000000" w:rsidRDefault="00000000" w:rsidRPr="00000000" w14:paraId="00000016">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IV. CALJIC No. 17.41.1</w:t>
      </w:r>
    </w:p>
    <w:p w:rsidR="00000000" w:rsidDel="00000000" w:rsidP="00000000" w:rsidRDefault="00000000" w:rsidRPr="00000000" w14:paraId="00000017">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court instructed per CALJIC No. 17.41.1 (1998 New): "The integrity of a trial requires that jurors at all times during their deliberations conduct themselves as required by these instructions. Accordingly, should it occur that any juror refuses to deliberate or expresses an intention to disregard the law or to decide the case based on any other improper basis, it is the obligation of the other jurors to immediately advise the Court of the situation." Defendant Fritz argues that CALJIC No. 17.41.1 infringes upon his right to possible jury nullification, undermines the independence of individual jurors, unduly involves the court in the private deliberations of a jury, and infringes the jurors' right to freedom of speech and association.</w:t>
      </w:r>
    </w:p>
    <w:p w:rsidR="00000000" w:rsidDel="00000000" w:rsidP="00000000" w:rsidRDefault="00000000" w:rsidRPr="00000000" w14:paraId="00000018">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Defendant's contentions must be rejected. The California Supreme Court in People v. Engelman (2002) 28 Cal.4th 436 disapproved the future use of CALJIC No. 17.41.1 but held that the giving of this instruction did not infringe upon that defendant's federal or state constitutional right to trial by jury or his state constitutional right to a unanimous jury verdict. (Id. at pp. 442-445.) The court was not persuaded that CALJIC No. 17.41.1 unconstitutionally impaired the secrecy of jury deliberations. (Id. at pp. 442-444.)</w:t>
      </w:r>
    </w:p>
    <w:p w:rsidR="00000000" w:rsidDel="00000000" w:rsidP="00000000" w:rsidRDefault="00000000" w:rsidRPr="00000000" w14:paraId="00000019">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appellate record before us does not indicate any allegation of jury misconduct or other problem with the jury deliberations related to the challenged instruction. The instructions in this case, like those in Engelman, conveyed the necessity for each juror to exercise his or her impartial, independent judgment. </w:t>
      </w:r>
      <w:r w:rsidDel="00000000" w:rsidR="00000000" w:rsidRPr="00000000">
        <w:rPr>
          <w:rFonts w:ascii="Times New Roman" w:cs="Times New Roman" w:eastAsia="Times New Roman" w:hAnsi="Times New Roman"/>
          <w:color w:val="333333"/>
          <w:sz w:val="30"/>
          <w:szCs w:val="30"/>
          <w:vertAlign w:val="superscript"/>
          <w:rtl w:val="0"/>
        </w:rPr>
        <w:t xml:space="preserve">2</w:t>
      </w:r>
      <w:r w:rsidDel="00000000" w:rsidR="00000000" w:rsidRPr="00000000">
        <w:rPr>
          <w:rFonts w:ascii="Times New Roman" w:cs="Times New Roman" w:eastAsia="Times New Roman" w:hAnsi="Times New Roman"/>
          <w:color w:val="333333"/>
          <w:sz w:val="24"/>
          <w:szCs w:val="24"/>
          <w:rtl w:val="0"/>
        </w:rPr>
        <w:t xml:space="preserve"> (Cf. People v. Engelman, supra, 28 Cal.4th at pp. 444-445.)</w:t>
      </w:r>
    </w:p>
    <w:p w:rsidR="00000000" w:rsidDel="00000000" w:rsidP="00000000" w:rsidRDefault="00000000" w:rsidRPr="00000000" w14:paraId="0000001A">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As to any argument that CALJIC No. 17.41.1 infringes upon defendant's constitutional right to jury nullification, it is without merit in light of People v. Williams (2001) 25 Cal.4th 441, 449-463 (Williams). The court in Williams declared: "Jury nullification is contrary to our ideal of equal justice for all and permits both the prosecution's case and the defendant's fate to depend upon the whims of a particular jury, rather than upon the equal application of settled rules of law . . . ." (Id. at p. 463.) The court explained that, although the possibility of jury nullification exists because of certain procedural aspects of our criminal justice system, a defendant does not have a constitutional right to that possibility. (Id. at pp. 449-451.)</w:t>
      </w:r>
    </w:p>
    <w:p w:rsidR="00000000" w:rsidDel="00000000" w:rsidP="00000000" w:rsidRDefault="00000000" w:rsidRPr="00000000" w14:paraId="0000001B">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30"/>
          <w:szCs w:val="30"/>
          <w:vertAlign w:val="superscript"/>
        </w:rPr>
      </w:pPr>
      <w:r w:rsidDel="00000000" w:rsidR="00000000" w:rsidRPr="00000000">
        <w:rPr>
          <w:rFonts w:ascii="Times New Roman" w:cs="Times New Roman" w:eastAsia="Times New Roman" w:hAnsi="Times New Roman"/>
          <w:color w:val="333333"/>
          <w:sz w:val="24"/>
          <w:szCs w:val="24"/>
          <w:rtl w:val="0"/>
        </w:rPr>
        <w:t xml:space="preserve">In addition, we reject defendant's assertion that he has standing to assert the jurors' right to freedom of speech. He has failed to demonstrate the third party standing necessary to raise the constitutional challenge. </w:t>
      </w:r>
      <w:r w:rsidDel="00000000" w:rsidR="00000000" w:rsidRPr="00000000">
        <w:rPr>
          <w:rFonts w:ascii="Times New Roman" w:cs="Times New Roman" w:eastAsia="Times New Roman" w:hAnsi="Times New Roman"/>
          <w:color w:val="333333"/>
          <w:sz w:val="30"/>
          <w:szCs w:val="30"/>
          <w:vertAlign w:val="superscript"/>
          <w:rtl w:val="0"/>
        </w:rPr>
        <w:t xml:space="preserve">3</w:t>
      </w:r>
      <w:r w:rsidDel="00000000" w:rsidR="00000000" w:rsidRPr="00000000">
        <w:rPr>
          <w:rFonts w:ascii="Times New Roman" w:cs="Times New Roman" w:eastAsia="Times New Roman" w:hAnsi="Times New Roman"/>
          <w:color w:val="333333"/>
          <w:sz w:val="24"/>
          <w:szCs w:val="24"/>
          <w:rtl w:val="0"/>
        </w:rPr>
        <w:t xml:space="preserve"> (Cf. Powers v. Ohio (1991) 499 U.S. 400; cf. also Campbell v. Louisiana (1998) 523 U.S. 392.) We do not discern a commonality of interest between a criminal defendant and jurors with regard to unrestricted "free speech" during jury deliberations. Whatever right to "free speech" that trial jurors may have during deliberations is circumscribed by their oath (Code Civ. Proc., § 232, subd. (b)). </w:t>
      </w:r>
      <w:r w:rsidDel="00000000" w:rsidR="00000000" w:rsidRPr="00000000">
        <w:rPr>
          <w:rFonts w:ascii="Times New Roman" w:cs="Times New Roman" w:eastAsia="Times New Roman" w:hAnsi="Times New Roman"/>
          <w:color w:val="333333"/>
          <w:sz w:val="30"/>
          <w:szCs w:val="30"/>
          <w:vertAlign w:val="superscript"/>
          <w:rtl w:val="0"/>
        </w:rPr>
        <w:t xml:space="preserve">4</w:t>
      </w:r>
    </w:p>
    <w:p w:rsidR="00000000" w:rsidDel="00000000" w:rsidP="00000000" w:rsidRDefault="00000000" w:rsidRPr="00000000" w14:paraId="0000001C">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V. Parole Revocation Fine</w:t>
      </w:r>
    </w:p>
    <w:p w:rsidR="00000000" w:rsidDel="00000000" w:rsidP="00000000" w:rsidRDefault="00000000" w:rsidRPr="00000000" w14:paraId="0000001D">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trial court imposed a $10,000 parole revocation fine, which was suspended unless parole was revoked, pursuant to Penal Code section 1202.45. Penal Code section 1202.45 was enacted in 1995, effective August 3, 1995 (Stats.1995, ch. 313, § 6, p. 1538), which was a date after the commission of the charged offenses. Defendant contends, and the People concede, that imposition of the parole revocation fine constituted an ex post facto application of the law. We agree that the parole revocation fine must be stricken. (U.S. Const., art. I, § 10; Cal. Const., art. I, § 9; People v. Callejas (2000) 85 Cal.App.4th 667.)</w:t>
      </w:r>
    </w:p>
    <w:p w:rsidR="00000000" w:rsidDel="00000000" w:rsidP="00000000" w:rsidRDefault="00000000" w:rsidRPr="00000000" w14:paraId="0000001E">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The judgment is modified by striking the parole revocation fine imposed pursuant to Penal Code section 1202.45. The trial court is directed to amend the abstract of judgment accordingly and forward a copy of the amended abstract of judgment to the Department of Corrections. As so modified, the judgment is affirmed.</w:t>
      </w:r>
    </w:p>
    <w:p w:rsidR="00000000" w:rsidDel="00000000" w:rsidP="00000000" w:rsidRDefault="00000000" w:rsidRPr="00000000" w14:paraId="0000001F">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WE CONCUR:</w:t>
      </w:r>
    </w:p>
    <w:p w:rsidR="00000000" w:rsidDel="00000000" w:rsidP="00000000" w:rsidRDefault="00000000" w:rsidRPr="00000000" w14:paraId="00000020">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Premo, Acting P. J.</w:t>
      </w:r>
    </w:p>
    <w:p w:rsidR="00000000" w:rsidDel="00000000" w:rsidP="00000000" w:rsidRDefault="00000000" w:rsidRPr="00000000" w14:paraId="00000021">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Wunderlich, J.</w:t>
      </w:r>
    </w:p>
    <w:p w:rsidR="00000000" w:rsidDel="00000000" w:rsidP="00000000" w:rsidRDefault="00000000" w:rsidRPr="00000000" w14:paraId="00000022">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0"/>
          <w:szCs w:val="20"/>
        </w:rPr>
      </w:pPr>
      <w:r w:rsidDel="00000000" w:rsidR="00000000" w:rsidRPr="00000000">
        <w:rPr>
          <w:rFonts w:ascii="Times New Roman" w:cs="Times New Roman" w:eastAsia="Times New Roman" w:hAnsi="Times New Roman"/>
          <w:color w:val="333333"/>
          <w:sz w:val="20"/>
          <w:szCs w:val="20"/>
          <w:rtl w:val="0"/>
        </w:rPr>
        <w:t xml:space="preserve">1. All further statutory references are to the Evidence Code unless otherwise specified.</w:t>
      </w:r>
    </w:p>
    <w:p w:rsidR="00000000" w:rsidDel="00000000" w:rsidP="00000000" w:rsidRDefault="00000000" w:rsidRPr="00000000" w14:paraId="00000023">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0"/>
          <w:szCs w:val="20"/>
        </w:rPr>
      </w:pPr>
      <w:r w:rsidDel="00000000" w:rsidR="00000000" w:rsidRPr="00000000">
        <w:rPr>
          <w:rFonts w:ascii="Times New Roman" w:cs="Times New Roman" w:eastAsia="Times New Roman" w:hAnsi="Times New Roman"/>
          <w:color w:val="333333"/>
          <w:sz w:val="20"/>
          <w:szCs w:val="20"/>
          <w:rtl w:val="0"/>
        </w:rPr>
        <w:t xml:space="preserve">2. The court instructed the jurors regarding their dual duties to determine the facts from the evidence and to apply the law, as the judge stated it, to those facts. The court stated: "You must decide all questions of fact in this case from the evidence received in this trial and not from any other source." The court also stated: "You must accept and follow the law as I state it to you regardless of whether you agree with the law." The jurors were told that "[t]he People of the State of California and the defendant" were "entitled to the individual opinion of each juror." The court admonished the jurors that "[e]ach of you must decide the case for yourself" and they must "not decide any question in a particular way because a majority of the jurors or any of them favor that decision." It also reminded the jurors that they were "not partisans or advocates in this matter" and were "impartial judges of the facts." The court also identified improper bases for determining the issues before the jurors. The court stated: "Do not decide any issue in this case by chance determination." The jurors were told that they "must not be influenced by pity for or prejudice against the defendant" and they "must not be influenced by sentiment, conjecture, sympathy, passion, prejudice, public opinion or public feeling." The court warned: "You must not independently investigate the facts or the law . . . ." The court also admonished: "In your deliberations, do not discuss or consider the subject of penalty of punishment. That subject must not in any way affect your verdict." We have no reason to believe that CALJIC No. 17.41.1 improperly impacted the jurors' deliberations. The jury deliberated for less than three hours before returning verdicts. The jurors were polled and all agreed to the verdicts as read.</w:t>
      </w:r>
    </w:p>
    <w:p w:rsidR="00000000" w:rsidDel="00000000" w:rsidP="00000000" w:rsidRDefault="00000000" w:rsidRPr="00000000" w14:paraId="00000024">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0"/>
          <w:szCs w:val="20"/>
        </w:rPr>
      </w:pPr>
      <w:r w:rsidDel="00000000" w:rsidR="00000000" w:rsidRPr="00000000">
        <w:rPr>
          <w:rFonts w:ascii="Times New Roman" w:cs="Times New Roman" w:eastAsia="Times New Roman" w:hAnsi="Times New Roman"/>
          <w:color w:val="333333"/>
          <w:sz w:val="20"/>
          <w:szCs w:val="20"/>
          <w:rtl w:val="0"/>
        </w:rPr>
        <w:t xml:space="preserve">3. "In the ordinary course, a litigant must assert his or her own legal rights and interests, and cannot rest a claim to relief on the legal rights or interests of third parties. [Citations.] This fundamental restriction on our authority admits of certain, limited exceptions. We have recognized the right of litigants to bring actions on behalf of third parties, provided three important criteria are satisfied: The litigant must have suffered an 'injury in fact,' thus giving him or her a 'sufficiently concrete interest' in the outcome of the issue in dispute [citation], the litigant must have a close relation to the third party [citation]; and there must exist some hindrance to the third party's ability to protect his or her own interests. [Citations.]" (Powers v. Ohio (1991) 499 U.S. 400, 410- 411.) In Powers v. Ohio, the Supreme Court determined that a criminal defendant has standing to raise the third- party equal protection claims of jurors excluded by the prosecution because of their race. (Id. at p. 415.) It concluded that the discriminatory use of peremptory challenges causes a criminal defendant cognizable injury, and the defendant has a concrete interest in challenging the practice because racial discrimination in jury selection casts doubt on the integrity of the judicial process and places the fairness of the criminal proceeding in doubt. (Id. at p. 411.) The court also found that there was a close relationship between the criminal defendant and the excluded juror and they had a "common interest in eliminating racial discrimination from the courtroom." (Id. at p. 413.) The court stated: "This congruence of interests makes it necessary and appropriate for the defendant to raise the rights of the juror." (Id. at p. 414.)</w:t>
      </w:r>
    </w:p>
    <w:p w:rsidR="00000000" w:rsidDel="00000000" w:rsidP="00000000" w:rsidRDefault="00000000" w:rsidRPr="00000000" w14:paraId="00000025">
      <w:pPr>
        <w:pBdr>
          <w:top w:color="e5e7eb" w:space="0" w:sz="0" w:val="none"/>
          <w:left w:color="e5e7eb" w:space="0" w:sz="0" w:val="none"/>
          <w:bottom w:color="e5e7eb" w:space="0" w:sz="0" w:val="none"/>
          <w:right w:color="e5e7eb" w:space="0" w:sz="0" w:val="none"/>
          <w:between w:color="e5e7eb" w:space="0" w:sz="0" w:val="none"/>
        </w:pBdr>
        <w:spacing w:before="460" w:lineRule="auto"/>
        <w:ind w:left="160" w:right="160" w:firstLine="0"/>
        <w:rPr>
          <w:rFonts w:ascii="Times New Roman" w:cs="Times New Roman" w:eastAsia="Times New Roman" w:hAnsi="Times New Roman"/>
          <w:color w:val="333333"/>
          <w:sz w:val="20"/>
          <w:szCs w:val="20"/>
        </w:rPr>
      </w:pPr>
      <w:r w:rsidDel="00000000" w:rsidR="00000000" w:rsidRPr="00000000">
        <w:rPr>
          <w:rFonts w:ascii="Times New Roman" w:cs="Times New Roman" w:eastAsia="Times New Roman" w:hAnsi="Times New Roman"/>
          <w:color w:val="333333"/>
          <w:sz w:val="20"/>
          <w:szCs w:val="20"/>
          <w:rtl w:val="0"/>
        </w:rPr>
        <w:t xml:space="preserve">4. "As soon as a jury is selected, each juror must agree to render a true verdict ' "according only to the evidence presented . . . and to the instructions of the court." ' (Code Civ. Proc., § 232, subd. (b), italics added.)" (People v. Williams, supra, 25 Cal.4th at p. 448.) "A juror who refuses to follow the court's instructions is 'unable to perform his duty' within the meaning of Penal Code section 1089 [authorizing court to discharge juror]." (Ibid.)</w:t>
      </w:r>
    </w:p>
    <w:p w:rsidR="00000000" w:rsidDel="00000000" w:rsidP="00000000" w:rsidRDefault="00000000" w:rsidRPr="00000000" w14:paraId="00000026">
      <w:pPr>
        <w:shd w:fill="003950" w:val="clear"/>
        <w:spacing w:before="960" w:lineRule="auto"/>
        <w:jc w:val="center"/>
        <w:rPr>
          <w:color w:val="ffffff"/>
          <w:sz w:val="17"/>
          <w:szCs w:val="17"/>
        </w:rPr>
      </w:pPr>
      <w:r w:rsidDel="00000000" w:rsidR="00000000" w:rsidRPr="00000000">
        <w:rPr>
          <w:color w:val="ffffff"/>
          <w:sz w:val="17"/>
          <w:szCs w:val="17"/>
          <w:rtl w:val="0"/>
        </w:rPr>
        <w:t xml:space="preserve">© 2025 Lexsphere Ltd. All rights reserved.AnyLaw and Lexsphere Ltd are not a law firm and do not provide legal advice.</w:t>
      </w:r>
    </w:p>
    <w:p w:rsidR="00000000" w:rsidDel="00000000" w:rsidP="00000000" w:rsidRDefault="00000000" w:rsidRPr="00000000" w14:paraId="0000002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